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0573">
      <w:pPr>
        <w:spacing w:after="0" w:line="100" w:lineRule="atLeast"/>
        <w:jc w:val="right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ANNÉE SCOLAIRE 2018 - 2019</w:t>
      </w:r>
    </w:p>
    <w:p w:rsidR="00000000" w:rsidRDefault="00FC0573">
      <w:pPr>
        <w:spacing w:after="0" w:line="100" w:lineRule="atLeast"/>
        <w:rPr>
          <w:rFonts w:ascii="Arial" w:hAnsi="Arial" w:cs="Comic Sans MS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96.75pt" filled="t">
            <v:fill color2="black"/>
            <v:imagedata r:id="rId7" o:title=""/>
          </v:shape>
        </w:pic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4"/>
          <w:szCs w:val="24"/>
        </w:rPr>
        <w:t>REGLEMENT INTERIEUR</w:t>
      </w: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Comic Sans MS"/>
          <w:b/>
          <w:bCs/>
          <w:sz w:val="24"/>
          <w:szCs w:val="24"/>
        </w:rPr>
        <w:t>Présentation de l'association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L'association Les P'tits Gloutons repose sur l'engagement bénévole de quelques parents et élus, et sur l'engagement professionnel des salariées qui se mobilise</w:t>
      </w:r>
      <w:r>
        <w:rPr>
          <w:rFonts w:ascii="Arial" w:hAnsi="Arial" w:cs="Arial"/>
          <w:sz w:val="20"/>
          <w:szCs w:val="20"/>
        </w:rPr>
        <w:t>nt chaque jour au service des enfants.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Comic Sans MS"/>
          <w:sz w:val="20"/>
          <w:szCs w:val="20"/>
        </w:rPr>
        <w:t>En inscrivant leur(s) enfant(s) au restaurant scolaire, les parents acceptent le présent règlement et s’engagent à le respecter. Il est obligatoire de bien le lire et d'en accepter  les termes en cochant la case lors</w:t>
      </w:r>
      <w:r>
        <w:rPr>
          <w:rFonts w:ascii="Arial" w:hAnsi="Arial" w:cs="Comic Sans MS"/>
          <w:sz w:val="20"/>
          <w:szCs w:val="20"/>
        </w:rPr>
        <w:t xml:space="preserve"> de l'inscription en ligne sur le site internet </w:t>
      </w:r>
      <w:hyperlink r:id="rId8" w:history="1">
        <w:r>
          <w:rPr>
            <w:rStyle w:val="Lienhypertexte"/>
            <w:rFonts w:ascii="Arial" w:hAnsi="Arial" w:cs="Comic Sans MS"/>
            <w:i/>
            <w:sz w:val="20"/>
            <w:szCs w:val="20"/>
          </w:rPr>
          <w:t>www.ropach.com</w:t>
        </w:r>
      </w:hyperlink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est important que les parents expliquent les règles qui s'appliquent à la cantine à leur (s) enfant (s).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sz w:val="20"/>
          <w:szCs w:val="20"/>
        </w:rPr>
        <w:t>Pour soutenir son fonctionnement, l'associati</w:t>
      </w:r>
      <w:r>
        <w:rPr>
          <w:rFonts w:ascii="Arial" w:hAnsi="Arial" w:cs="Arial"/>
          <w:sz w:val="20"/>
          <w:szCs w:val="20"/>
        </w:rPr>
        <w:t>on les P'tits Gloutons organise dans l'année plusieurs manifestations auxquelles sont associées les familles et leurs proches : vente de fromage, quine loto, vente de fleurs et de chocolats … tous les soutiens et toutes les contributions sont les bienvenue</w:t>
      </w:r>
      <w:r>
        <w:rPr>
          <w:rFonts w:ascii="Arial" w:hAnsi="Arial" w:cs="Arial"/>
          <w:sz w:val="20"/>
          <w:szCs w:val="20"/>
        </w:rPr>
        <w:t>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</w:pPr>
    </w:p>
    <w:p w:rsidR="00000000" w:rsidRDefault="00FC0573">
      <w:pPr>
        <w:shd w:val="clear" w:color="auto" w:fill="BFBFBF"/>
        <w:spacing w:after="0" w:line="100" w:lineRule="atLeast"/>
        <w:jc w:val="both"/>
      </w:pPr>
      <w:r>
        <w:rPr>
          <w:rFonts w:ascii="Arial" w:hAnsi="Arial" w:cs="Arial"/>
          <w:b/>
          <w:bCs/>
          <w:sz w:val="24"/>
          <w:szCs w:val="24"/>
        </w:rPr>
        <w:t>Fonctionnement de la cantine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Les repas sont préparés par la société RPC et livrés chaque jour aux cantines où ils sont conditionnés en attendant d'être remis en température et agrémentés par les salariées.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cantine fonctionne les lundis, mardis, je</w:t>
      </w:r>
      <w:r>
        <w:rPr>
          <w:rFonts w:ascii="Arial" w:hAnsi="Arial" w:cs="Arial"/>
          <w:sz w:val="20"/>
          <w:szCs w:val="20"/>
        </w:rPr>
        <w:t>udis et vendredis pendant la période scolaire. Elle concerne les enfants scolarisés à St Nizier le Bouchoux et à Curciat-Dongalon à jour de côtisation et d'inscription.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montant de la cotisation annuelle est fixé par le Conseil d’Administration de la can</w:t>
      </w:r>
      <w:r>
        <w:rPr>
          <w:rFonts w:ascii="Arial" w:hAnsi="Arial" w:cs="Arial"/>
          <w:sz w:val="20"/>
          <w:szCs w:val="20"/>
        </w:rPr>
        <w:t>tine et varie selon le nombre d'enfant (s).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Chaque lundi, les enfants doivent apporter une serviette propre (marquée à leur nom), qu’ils laisseront à la cantine jusqu’à la fin de semaine.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menus sont affichés chaque semaine devant les écoles et sont di</w:t>
      </w:r>
      <w:r>
        <w:rPr>
          <w:rFonts w:ascii="Arial" w:hAnsi="Arial" w:cs="Arial"/>
          <w:sz w:val="20"/>
          <w:szCs w:val="20"/>
        </w:rPr>
        <w:t xml:space="preserve">sponibles sur le site </w:t>
      </w:r>
      <w:hyperlink r:id="rId9" w:history="1">
        <w:r>
          <w:rPr>
            <w:rStyle w:val="Lienhypertexte"/>
            <w:rFonts w:ascii="Arial" w:hAnsi="Arial" w:cs="Arial"/>
            <w:sz w:val="20"/>
            <w:szCs w:val="20"/>
          </w:rPr>
          <w:t>www.ropach.cantine</w:t>
        </w:r>
      </w:hyperlink>
      <w:r>
        <w:rPr>
          <w:rFonts w:ascii="Arial" w:hAnsi="Arial" w:cs="Arial"/>
          <w:sz w:val="20"/>
          <w:szCs w:val="20"/>
        </w:rPr>
        <w:t xml:space="preserve"> par l'accès personnalisé de chaque famille.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Inscription cantine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L'association dispose d'un accès « administrateur » pour créer un accès à la famille et affecte en fin d'a</w:t>
      </w:r>
      <w:r>
        <w:rPr>
          <w:rFonts w:ascii="Arial" w:hAnsi="Arial" w:cs="Arial"/>
          <w:sz w:val="20"/>
          <w:szCs w:val="20"/>
        </w:rPr>
        <w:t>nnée scolaire les élèves par classe pour l'année suivante.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appartient à chaque famille de bien relire et corriger au besoin les données pré remplies par l'association.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familles inscrivent leurs enfants en début d'année sur le portail internet </w:t>
      </w:r>
      <w:hyperlink r:id="rId10" w:history="1">
        <w:r>
          <w:rPr>
            <w:rStyle w:val="Lienhypertexte"/>
            <w:rFonts w:ascii="Arial" w:hAnsi="Arial" w:cs="Arial"/>
            <w:sz w:val="20"/>
            <w:szCs w:val="20"/>
          </w:rPr>
          <w:t>www.ropach.cantine</w:t>
        </w:r>
      </w:hyperlink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L'inscription sur le portail famille se fait une seule fois pour toute la scolarité de votre enfant.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1ere connexion se fait par Authentification – Ropach</w:t>
      </w:r>
    </w:p>
    <w:p w:rsidR="00000000" w:rsidRDefault="00FC0573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votre adresse mail (celle que les P'tits G</w:t>
      </w:r>
      <w:r>
        <w:rPr>
          <w:rFonts w:ascii="Arial" w:hAnsi="Arial" w:cs="Arial"/>
          <w:sz w:val="20"/>
          <w:szCs w:val="20"/>
        </w:rPr>
        <w:t>loutons utilisent pour communiquer avec vous</w:t>
      </w:r>
      <w:r w:rsidR="004B00AD">
        <w:rPr>
          <w:rFonts w:ascii="Arial" w:hAnsi="Arial" w:cs="Arial"/>
          <w:sz w:val="20"/>
          <w:szCs w:val="20"/>
        </w:rPr>
        <w:t>)</w:t>
      </w:r>
    </w:p>
    <w:p w:rsidR="00000000" w:rsidRDefault="00FC0573">
      <w:pPr>
        <w:pStyle w:val="NormalWeb"/>
        <w:numPr>
          <w:ilvl w:val="0"/>
          <w:numId w:val="4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 de passe : gloutons.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pourrez personnaliser votre mot de passe ensuite.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inscrivez votre / vos enfant (s) vous même sur le portail.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enfants non inscrits ne seront pas pris en charge à la sortie</w:t>
      </w:r>
      <w:r>
        <w:rPr>
          <w:rFonts w:ascii="Arial" w:hAnsi="Arial" w:cs="Arial"/>
          <w:sz w:val="20"/>
          <w:szCs w:val="20"/>
        </w:rPr>
        <w:t xml:space="preserve"> des écoles par les personnels de la cantine.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condition d'être inscrit dans le système informatique vous pourrez inscrire votre enfant à la cantine de manière exceptionnelle par le même procédé en anticipant l'inscription. L'adhésion sera due à l'assoc</w:t>
      </w:r>
      <w:r>
        <w:rPr>
          <w:rFonts w:ascii="Arial" w:hAnsi="Arial" w:cs="Arial"/>
          <w:sz w:val="20"/>
          <w:szCs w:val="20"/>
        </w:rPr>
        <w:t>iation.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cas d'absence de votre enfant</w:t>
      </w:r>
      <w:r>
        <w:rPr>
          <w:rFonts w:ascii="Arial" w:hAnsi="Arial" w:cs="Arial"/>
          <w:sz w:val="20"/>
          <w:szCs w:val="20"/>
        </w:rPr>
        <w:t>, il vous appartient de le désinscrire par le portail internet avant 10 heures.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désinscription sera prise en compte uniquement pour le repas suivant le jour de l'annulation.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sz w:val="20"/>
          <w:szCs w:val="20"/>
        </w:rPr>
        <w:t>Le repas du jour même restera dû.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</w:t>
      </w:r>
      <w:r>
        <w:rPr>
          <w:rFonts w:ascii="Arial" w:hAnsi="Arial" w:cs="Arial"/>
          <w:b/>
          <w:bCs/>
          <w:sz w:val="20"/>
          <w:szCs w:val="20"/>
          <w:u w:val="single"/>
        </w:rPr>
        <w:t>s jours de sorties scolaires</w:t>
      </w:r>
      <w:r>
        <w:rPr>
          <w:rFonts w:ascii="Arial" w:hAnsi="Arial" w:cs="Arial"/>
          <w:sz w:val="20"/>
          <w:szCs w:val="20"/>
        </w:rPr>
        <w:t>, les paniers repas sont préparés de</w:t>
      </w:r>
      <w:r w:rsidR="004B00AD">
        <w:rPr>
          <w:rFonts w:ascii="Arial" w:hAnsi="Arial" w:cs="Arial"/>
          <w:sz w:val="20"/>
          <w:szCs w:val="20"/>
        </w:rPr>
        <w:t xml:space="preserve"> la même façon par la société R</w:t>
      </w:r>
      <w:r>
        <w:rPr>
          <w:rFonts w:ascii="Arial" w:hAnsi="Arial" w:cs="Arial"/>
          <w:sz w:val="20"/>
          <w:szCs w:val="20"/>
        </w:rPr>
        <w:t>P</w:t>
      </w:r>
      <w:r w:rsidR="004B00A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règles d'annulation sont les mêmes.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Tarifs</w:t>
      </w:r>
    </w:p>
    <w:p w:rsidR="00000000" w:rsidRDefault="00FC0573">
      <w:pPr>
        <w:pStyle w:val="Normal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adhésion annuelle :</w:t>
      </w:r>
    </w:p>
    <w:p w:rsidR="00000000" w:rsidRDefault="00FC0573">
      <w:pPr>
        <w:pStyle w:val="NormalWeb"/>
        <w:numPr>
          <w:ilvl w:val="0"/>
          <w:numId w:val="1"/>
        </w:numPr>
        <w:shd w:val="clear" w:color="auto" w:fill="FFFFFF"/>
        <w:spacing w:before="0" w:after="0"/>
        <w:ind w:left="106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1 enfant : 15 €</w:t>
      </w:r>
    </w:p>
    <w:p w:rsidR="00000000" w:rsidRDefault="00FC0573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2 enfants : 20 €</w:t>
      </w:r>
    </w:p>
    <w:p w:rsidR="00000000" w:rsidRDefault="00FC0573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3 enfants et + : 25 €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prix des r</w:t>
      </w:r>
      <w:r>
        <w:rPr>
          <w:rFonts w:ascii="Arial" w:hAnsi="Arial" w:cs="Arial"/>
          <w:sz w:val="20"/>
          <w:szCs w:val="20"/>
        </w:rPr>
        <w:t>epas sont fixés de la manière suivante :</w:t>
      </w:r>
    </w:p>
    <w:p w:rsidR="00000000" w:rsidRDefault="00FC0573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Enfant mangeant régulièrement à la cantine :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4,10 € pour les enfants de maternelle et CP (déjeunant sur le site de Curciat – 4 composantes)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4,25 € pour les enfants du CE1 au CM2 (déjeunant sur le site de St Nizier </w:t>
      </w:r>
      <w:r>
        <w:rPr>
          <w:rFonts w:ascii="Arial" w:hAnsi="Arial" w:cs="Arial"/>
          <w:sz w:val="20"/>
          <w:szCs w:val="20"/>
        </w:rPr>
        <w:t>le B – 5 composantes).</w:t>
      </w:r>
    </w:p>
    <w:p w:rsidR="00000000" w:rsidRDefault="00FC0573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Repas occasionnel enfant ou adulte accompagnateur = 5 €</w:t>
      </w:r>
    </w:p>
    <w:p w:rsidR="00000000" w:rsidRDefault="00FC0573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Repas Pique-Nique = 3,50 €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Le règlement des factures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pacing w:after="0" w:line="100" w:lineRule="atLeast"/>
        <w:jc w:val="both"/>
        <w:rPr>
          <w:rFonts w:ascii="Arial" w:hAnsi="Arial" w:cs="Comic Sans MS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règlement des factures est indispensable au fonctionnement du service.</w:t>
      </w: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Comic Sans MS"/>
          <w:sz w:val="20"/>
          <w:szCs w:val="20"/>
        </w:rPr>
        <w:t>En début de mois, chaque famille trouvera sur l’</w:t>
      </w:r>
      <w:r>
        <w:rPr>
          <w:rFonts w:ascii="Arial" w:hAnsi="Arial" w:cs="Comic Sans MS"/>
          <w:sz w:val="20"/>
          <w:szCs w:val="20"/>
        </w:rPr>
        <w:t>accueil de son portail famille la facture correspondante au mois écoulé.</w:t>
      </w:r>
      <w:r w:rsidR="00594F98">
        <w:rPr>
          <w:rFonts w:ascii="Arial" w:hAnsi="Arial" w:cs="Comic Sans MS"/>
          <w:sz w:val="20"/>
          <w:szCs w:val="20"/>
        </w:rPr>
        <w:t xml:space="preserve"> </w:t>
      </w:r>
      <w:r>
        <w:rPr>
          <w:rFonts w:ascii="Arial" w:hAnsi="Arial" w:cs="Comic Sans MS"/>
          <w:sz w:val="20"/>
          <w:szCs w:val="20"/>
        </w:rPr>
        <w:t>Pour les parents séparés ou divorcés en garde alternée, chacun pourra obtenir une facturation séparée dès lors que chaque parent aura créé un compte.</w:t>
      </w: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Elles restent disponibles sur le </w:t>
      </w:r>
      <w:r>
        <w:rPr>
          <w:rFonts w:ascii="Arial" w:eastAsia="Calibri" w:hAnsi="Arial" w:cs="Arial"/>
          <w:sz w:val="20"/>
          <w:szCs w:val="20"/>
        </w:rPr>
        <w:t>site par l'accès personnel des familles.</w:t>
      </w: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Les factures sont à régler à l'association Les P'tits Gloutons pour le 10 ou 12 du mois. </w:t>
      </w: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 cas de dépassement de l'échéance de paiement l'association vous rappellera votre obligation par un mail, un sms ou un app</w:t>
      </w:r>
      <w:r>
        <w:rPr>
          <w:rFonts w:ascii="Arial" w:eastAsia="Calibri" w:hAnsi="Arial" w:cs="Arial"/>
          <w:sz w:val="20"/>
          <w:szCs w:val="20"/>
        </w:rPr>
        <w:t>el téléphonique, sans nouvelle de votre part vous recevrez un courrier de rappel.</w:t>
      </w:r>
    </w:p>
    <w:p w:rsidR="00000000" w:rsidRDefault="00FC0573">
      <w:pPr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 cas de difficulté de paiement, il est préférable de contacter l'Association pour lui en faire part et chercher une solution.</w:t>
      </w:r>
    </w:p>
    <w:p w:rsidR="00000000" w:rsidRDefault="00FC0573">
      <w:pPr>
        <w:spacing w:after="0" w:line="100" w:lineRule="atLeast"/>
        <w:jc w:val="both"/>
        <w:rPr>
          <w:color w:val="3333FF"/>
        </w:rPr>
      </w:pPr>
      <w:r>
        <w:rPr>
          <w:rFonts w:ascii="Arial" w:eastAsia="Calibri" w:hAnsi="Arial" w:cs="Arial"/>
          <w:sz w:val="20"/>
          <w:szCs w:val="20"/>
        </w:rPr>
        <w:t xml:space="preserve">A la 2nde facture impayée, et sans réponse de </w:t>
      </w:r>
      <w:r>
        <w:rPr>
          <w:rFonts w:ascii="Arial" w:eastAsia="Calibri" w:hAnsi="Arial" w:cs="Arial"/>
          <w:sz w:val="20"/>
          <w:szCs w:val="20"/>
        </w:rPr>
        <w:t>la famille, le représentant de votre commune siégeant au Conseil d'Administration de la cantine sera informé de votre situation et pourra vous solliciter directement.</w:t>
      </w:r>
    </w:p>
    <w:p w:rsidR="00000000" w:rsidRDefault="00FC0573">
      <w:pPr>
        <w:spacing w:after="0" w:line="100" w:lineRule="atLeast"/>
        <w:jc w:val="both"/>
        <w:rPr>
          <w:color w:val="3333FF"/>
        </w:rPr>
      </w:pPr>
    </w:p>
    <w:p w:rsidR="00000000" w:rsidRDefault="00FC0573">
      <w:pPr>
        <w:spacing w:after="120" w:line="10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Les règlements sont à effectuer prioritairement:</w:t>
      </w:r>
    </w:p>
    <w:p w:rsidR="00000000" w:rsidRDefault="00FC0573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par virement bancaire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(avant le 12)</w:t>
      </w:r>
      <w:r>
        <w:rPr>
          <w:rFonts w:ascii="Arial" w:eastAsia="Calibri" w:hAnsi="Arial" w:cs="Arial"/>
          <w:sz w:val="20"/>
          <w:szCs w:val="20"/>
        </w:rPr>
        <w:t xml:space="preserve"> = T</w:t>
      </w:r>
      <w:r>
        <w:rPr>
          <w:rFonts w:ascii="Arial" w:eastAsia="Calibri" w:hAnsi="Arial" w:cs="Arial"/>
          <w:sz w:val="20"/>
          <w:szCs w:val="20"/>
        </w:rPr>
        <w:t>itulaire du compte « Les P'tits Gloutons »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RIB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Banque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Guichet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N°de compte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Clé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Domiciliation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10278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07317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00020804701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79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CCM Bressan – BOURG EN BRESSE</w:t>
      </w:r>
    </w:p>
    <w:p w:rsidR="00000000" w:rsidRDefault="00FC0573">
      <w:pPr>
        <w:pStyle w:val="ListParagraph"/>
        <w:spacing w:after="0" w:line="10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IBAN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BIC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FR76  1027  8073  1700  0208  0470  179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CMCIFR2A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000000" w:rsidRDefault="00FC0573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par chèque ou en espèces </w:t>
      </w:r>
      <w:r>
        <w:rPr>
          <w:rFonts w:ascii="Arial" w:eastAsia="Calibri" w:hAnsi="Arial" w:cs="Arial"/>
          <w:b/>
          <w:bCs/>
          <w:sz w:val="20"/>
          <w:szCs w:val="20"/>
        </w:rPr>
        <w:t>(dès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réception de la facture)</w:t>
      </w:r>
      <w:r>
        <w:rPr>
          <w:rFonts w:ascii="Arial" w:eastAsia="Calibri" w:hAnsi="Arial" w:cs="Arial"/>
          <w:sz w:val="20"/>
          <w:szCs w:val="20"/>
        </w:rPr>
        <w:t>, dans l'une des boites aux lettres de la cantine (à l’entrée de l’école de Curciat ou St Nizier)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pacing w:after="0" w:line="100" w:lineRule="atLeast"/>
        <w:jc w:val="both"/>
      </w:pPr>
      <w:r>
        <w:rPr>
          <w:rFonts w:ascii="Arial" w:hAnsi="Arial" w:cs="Arial"/>
          <w:bCs/>
          <w:sz w:val="20"/>
          <w:szCs w:val="20"/>
        </w:rPr>
        <w:t>Vous pouvez nous contacter :</w:t>
      </w:r>
    </w:p>
    <w:p w:rsidR="00000000" w:rsidRDefault="00FC0573">
      <w:pPr>
        <w:pStyle w:val="ListParagraph"/>
        <w:numPr>
          <w:ilvl w:val="0"/>
          <w:numId w:val="2"/>
        </w:numPr>
        <w:spacing w:after="0" w:line="100" w:lineRule="atLeast"/>
        <w:jc w:val="both"/>
      </w:pPr>
      <w:hyperlink r:id="rId11" w:history="1">
        <w:r>
          <w:rPr>
            <w:rStyle w:val="Lienhypertexte"/>
            <w:rFonts w:ascii="Arial" w:hAnsi="Arial" w:cs="Arial"/>
            <w:bCs/>
            <w:color w:val="00000A"/>
            <w:sz w:val="20"/>
            <w:szCs w:val="20"/>
          </w:rPr>
          <w:t>cantine.glouton@gmail.com</w:t>
        </w:r>
      </w:hyperlink>
      <w:r>
        <w:rPr>
          <w:rFonts w:ascii="Arial" w:hAnsi="Arial" w:cs="Arial"/>
          <w:bCs/>
          <w:sz w:val="20"/>
          <w:szCs w:val="20"/>
        </w:rPr>
        <w:t> : pour des questions d'ordre</w:t>
      </w:r>
      <w:r>
        <w:rPr>
          <w:rFonts w:ascii="Arial" w:hAnsi="Arial" w:cs="Arial"/>
          <w:bCs/>
          <w:sz w:val="20"/>
          <w:szCs w:val="20"/>
        </w:rPr>
        <w:t xml:space="preserve"> général</w:t>
      </w:r>
    </w:p>
    <w:p w:rsidR="00000000" w:rsidRDefault="00FC0573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bCs/>
          <w:sz w:val="20"/>
          <w:szCs w:val="20"/>
        </w:rPr>
      </w:pPr>
      <w:hyperlink r:id="rId12" w:history="1">
        <w:r>
          <w:rPr>
            <w:rStyle w:val="Lienhypertexte"/>
            <w:rFonts w:ascii="Arial" w:hAnsi="Arial" w:cs="Arial"/>
            <w:bCs/>
            <w:color w:val="00000A"/>
            <w:sz w:val="20"/>
            <w:szCs w:val="20"/>
          </w:rPr>
          <w:t>glouton.tresorerie@gmail.com</w:t>
        </w:r>
      </w:hyperlink>
      <w:r>
        <w:rPr>
          <w:rFonts w:ascii="Arial" w:hAnsi="Arial" w:cs="Arial"/>
          <w:bCs/>
          <w:sz w:val="20"/>
          <w:szCs w:val="20"/>
        </w:rPr>
        <w:t xml:space="preserve"> pour des questions de facture, cotisation …</w:t>
      </w:r>
    </w:p>
    <w:p w:rsidR="00000000" w:rsidRPr="00594F98" w:rsidRDefault="00FC0573">
      <w:pPr>
        <w:pStyle w:val="ListParagraph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bCs/>
          <w:sz w:val="20"/>
          <w:szCs w:val="20"/>
        </w:rPr>
        <w:t xml:space="preserve">ou nous faire passer vos messages par les boîtes aux lettres de Curciat et St Nizier en précisant vos coordonnées et nous </w:t>
      </w:r>
      <w:r>
        <w:rPr>
          <w:rFonts w:ascii="Arial" w:hAnsi="Arial" w:cs="Arial"/>
          <w:bCs/>
          <w:sz w:val="20"/>
          <w:szCs w:val="20"/>
        </w:rPr>
        <w:t>vous contacterons</w:t>
      </w:r>
      <w:r>
        <w:rPr>
          <w:rFonts w:ascii="Arial" w:hAnsi="Arial" w:cs="Arial"/>
          <w:bCs/>
          <w:color w:val="3333FF"/>
          <w:sz w:val="20"/>
          <w:szCs w:val="20"/>
        </w:rPr>
        <w:t>.</w:t>
      </w:r>
    </w:p>
    <w:p w:rsidR="00594F98" w:rsidRDefault="00594F98" w:rsidP="00594F98">
      <w:pPr>
        <w:pStyle w:val="ListParagraph"/>
        <w:spacing w:after="0" w:line="100" w:lineRule="atLeast"/>
        <w:ind w:left="1065"/>
        <w:jc w:val="both"/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Objectifs pédagogiques et éducatifs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restauration scolaire a pour objectif de permettre à l’enfant d’avoir un temps de restauration agréable. Durant ce temps, l’enfant est invité à goûter aux différents aliments pour augmenter ses co</w:t>
      </w:r>
      <w:r>
        <w:rPr>
          <w:rFonts w:ascii="Arial" w:hAnsi="Arial" w:cs="Arial"/>
          <w:sz w:val="20"/>
          <w:szCs w:val="20"/>
        </w:rPr>
        <w:t>nnaissances culinaires. Un enfant qui n’aime pas, s’il a goûté, ne sera jamais forcé (sauf à boire par temps chaud). Un travail sur l’autonomie et sur la responsabilité est mis en avant, par le fait :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d’aider les plus jeunes, 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de participer au service </w:t>
      </w:r>
      <w:r>
        <w:rPr>
          <w:rFonts w:ascii="Arial" w:hAnsi="Arial" w:cs="Arial"/>
          <w:sz w:val="20"/>
          <w:szCs w:val="20"/>
        </w:rPr>
        <w:t>et au rangement,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d’exprimer ses remarques et suggestions.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travail éducatif se fait sur la tenue des enfants à table et le vocabulaire. De plus, le temps du repas est un réel temps d’échange et de discussion (sans crier), pour les enfants entre eux, m</w:t>
      </w:r>
      <w:r>
        <w:rPr>
          <w:rFonts w:ascii="Arial" w:hAnsi="Arial" w:cs="Arial"/>
          <w:sz w:val="20"/>
          <w:szCs w:val="20"/>
        </w:rPr>
        <w:t>ais également entre les enfants et les encadrants.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Le comportement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Nous attendons :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12"/>
        </w:rPr>
      </w:pP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la politesse,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la propreté,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respect des autres, 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respect du matériel (toute dégradation sera sévèrement réprimandée et notifiée), 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respect de la nourr</w:t>
      </w:r>
      <w:r>
        <w:rPr>
          <w:rFonts w:ascii="Arial" w:hAnsi="Arial" w:cs="Arial"/>
          <w:sz w:val="20"/>
          <w:szCs w:val="20"/>
        </w:rPr>
        <w:t xml:space="preserve">iture, </w:t>
      </w:r>
    </w:p>
    <w:p w:rsidR="00000000" w:rsidRDefault="00FC0573">
      <w:pPr>
        <w:pStyle w:val="NormalWeb"/>
        <w:shd w:val="clear" w:color="auto" w:fill="FFFFFF"/>
        <w:spacing w:before="0"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 respect du personnel de service, </w:t>
      </w:r>
    </w:p>
    <w:p w:rsidR="00000000" w:rsidRDefault="00FC0573">
      <w:pPr>
        <w:pStyle w:val="NormalWeb"/>
        <w:numPr>
          <w:ilvl w:val="0"/>
          <w:numId w:val="3"/>
        </w:numPr>
        <w:shd w:val="clear" w:color="auto" w:fill="FFFFFF"/>
        <w:spacing w:before="0" w:after="0"/>
        <w:ind w:left="851" w:hanging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 de ne pas manger froid, il sera demandé aux enfants (sauf petits) de ne pas aller aux toilettes pendant      le repas.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En cas de non-respect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personnel a la responsabilité des enfants, il est donc inv</w:t>
      </w:r>
      <w:r>
        <w:rPr>
          <w:rFonts w:ascii="Arial" w:hAnsi="Arial" w:cs="Arial"/>
          <w:sz w:val="20"/>
          <w:szCs w:val="20"/>
        </w:rPr>
        <w:t xml:space="preserve">esti de toute l’autorité nécessaire pour le bon fonctionnement de la cantine. En cas de non-respect des différentes règles, l’enfant en cause peut se voir sanctionné par le Personnel de Service selon le degré de la faute commise. 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personnel consignera </w:t>
      </w:r>
      <w:r>
        <w:rPr>
          <w:rFonts w:ascii="Arial" w:hAnsi="Arial" w:cs="Arial"/>
          <w:sz w:val="20"/>
          <w:szCs w:val="20"/>
        </w:rPr>
        <w:t>tout comportement inadapté d’un élève. En cas de répétition l’information sera relayée à la Présidente de l’association des Petits Gloutons afin de prendre contact avec les parents et ainsi prendre les mesures nécessaires rapidement pour remédier à la situ</w:t>
      </w:r>
      <w:r>
        <w:rPr>
          <w:rFonts w:ascii="Arial" w:hAnsi="Arial" w:cs="Arial"/>
          <w:sz w:val="20"/>
          <w:szCs w:val="20"/>
        </w:rPr>
        <w:t>ation conformément au tableau ci-dessous.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Tableau des différents manquements au règlement et leurs sanctions :</w:t>
      </w: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8"/>
        <w:gridCol w:w="4893"/>
        <w:gridCol w:w="2515"/>
      </w:tblGrid>
      <w:tr w:rsidR="00000000">
        <w:trPr>
          <w:trHeight w:val="84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hd w:val="clear" w:color="auto" w:fill="FFFFFF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FC0573">
            <w:pPr>
              <w:pStyle w:val="NormalWeb"/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Types de problèmes</w:t>
            </w:r>
          </w:p>
          <w:p w:rsidR="00000000" w:rsidRDefault="00FC0573">
            <w:pPr>
              <w:pStyle w:val="NormalWeb"/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hd w:val="clear" w:color="auto" w:fill="FFFFFF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Manifestations principales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000" w:rsidRDefault="00FC0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Mesures</w:t>
            </w:r>
          </w:p>
          <w:p w:rsidR="00000000" w:rsidRDefault="00FC0573">
            <w:pPr>
              <w:pStyle w:val="NormalWeb"/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330"/>
        </w:trPr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hd w:val="clear" w:color="auto" w:fill="FFFFFF"/>
              <w:spacing w:before="0" w:after="0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Mesures d’avertissement</w:t>
            </w:r>
          </w:p>
        </w:tc>
      </w:tr>
      <w:tr w:rsidR="00000000">
        <w:trPr>
          <w:trHeight w:val="1060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 des règles de vie en collectivité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Comportement bruyan</w:t>
            </w:r>
            <w:r>
              <w:rPr>
                <w:rFonts w:ascii="Arial" w:hAnsi="Arial" w:cs="Arial"/>
                <w:sz w:val="20"/>
                <w:szCs w:val="20"/>
              </w:rPr>
              <w:t>t et non adapté</w:t>
            </w:r>
          </w:p>
          <w:p w:rsidR="00000000" w:rsidRDefault="00FC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 d’obéissance</w:t>
            </w:r>
          </w:p>
          <w:p w:rsidR="00000000" w:rsidRDefault="00FC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Remarques déplacées ou agressive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au règlement</w:t>
            </w:r>
          </w:p>
          <w:p w:rsidR="00000000" w:rsidRDefault="00FC057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excuse verbale ou écrite à faire signer ou pas aux parents</w:t>
            </w:r>
          </w:p>
        </w:tc>
      </w:tr>
      <w:tr w:rsidR="00000000">
        <w:trPr>
          <w:trHeight w:val="1064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Persistance d’un comportement non adapté</w:t>
            </w:r>
          </w:p>
          <w:p w:rsidR="00000000" w:rsidRDefault="00FC0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Refus systématique d’obéissance et agressivité caractéristique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r>
              <w:rPr>
                <w:rFonts w:ascii="Arial" w:hAnsi="Arial" w:cs="Arial"/>
                <w:sz w:val="20"/>
                <w:szCs w:val="20"/>
              </w:rPr>
              <w:t>Ave</w:t>
            </w:r>
            <w:r>
              <w:rPr>
                <w:rFonts w:ascii="Arial" w:hAnsi="Arial" w:cs="Arial"/>
                <w:sz w:val="20"/>
                <w:szCs w:val="20"/>
              </w:rPr>
              <w:t>rtissement suivant la nature des faits</w:t>
            </w:r>
          </w:p>
        </w:tc>
      </w:tr>
      <w:tr w:rsidR="00000000">
        <w:trPr>
          <w:trHeight w:val="330"/>
        </w:trPr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hd w:val="clear" w:color="auto" w:fill="FFFFFF"/>
              <w:spacing w:before="0" w:after="0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Sanctions disciplinaires</w:t>
            </w:r>
          </w:p>
        </w:tc>
      </w:tr>
      <w:tr w:rsidR="00000000">
        <w:trPr>
          <w:trHeight w:val="705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Non-respect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des biens et des personnes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Comportement provocant ou insultant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Exclusion temporaire</w:t>
            </w:r>
          </w:p>
        </w:tc>
      </w:tr>
      <w:tr w:rsidR="00000000">
        <w:trPr>
          <w:trHeight w:val="553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Dégradations mineures du matériel mis à disposition</w:t>
            </w: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/>
        </w:tc>
      </w:tr>
      <w:tr w:rsidR="00000000">
        <w:trPr>
          <w:trHeight w:val="125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Menaces vis-à-vis des personnes ou dég</w:t>
            </w:r>
            <w:r>
              <w:rPr>
                <w:rFonts w:ascii="Arial" w:hAnsi="Arial" w:cs="Arial"/>
                <w:sz w:val="20"/>
                <w:szCs w:val="20"/>
              </w:rPr>
              <w:t>radations volontaires des biens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Agressions physiques envers les autres élèves ou le personnel, dégradation importante ou vol du matériel mis à disposition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FC0573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Exclusion définitive /</w:t>
            </w:r>
          </w:p>
          <w:p w:rsidR="00000000" w:rsidRDefault="00FC0573">
            <w:pPr>
              <w:pStyle w:val="NormalWeb"/>
              <w:spacing w:before="0"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poursuites pénales</w:t>
            </w:r>
          </w:p>
        </w:tc>
      </w:tr>
    </w:tbl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shd w:val="clear" w:color="auto" w:fill="BFBFBF"/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Exactitude des données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familles sont responsables</w:t>
      </w:r>
      <w:r>
        <w:rPr>
          <w:rFonts w:ascii="Arial" w:hAnsi="Arial" w:cs="Arial"/>
          <w:sz w:val="20"/>
          <w:szCs w:val="20"/>
        </w:rPr>
        <w:t xml:space="preserve"> de communiquer au service les informations permettant de mettre leur enfant en sécurité sur le temps du repas (allergies, personnes à contacter en cas d'urgence) en communiquant des données fiables et en les tenant à jour. </w:t>
      </w:r>
    </w:p>
    <w:p w:rsidR="00000000" w:rsidRDefault="00FC0573">
      <w:pPr>
        <w:pStyle w:val="ListParagraph"/>
        <w:spacing w:after="0" w:line="100" w:lineRule="atLea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membres de l'association se</w:t>
      </w:r>
      <w:r>
        <w:rPr>
          <w:rFonts w:ascii="Arial" w:hAnsi="Arial" w:cs="Arial"/>
          <w:sz w:val="20"/>
          <w:szCs w:val="20"/>
        </w:rPr>
        <w:t xml:space="preserve"> tiennent à disposition des parents qui le souhaitent, en toute discrétion, pour évoquer la situation de leur (s) enfant (s). </w:t>
      </w:r>
    </w:p>
    <w:p w:rsidR="00FC0573" w:rsidRDefault="00FC0573">
      <w:pPr>
        <w:pStyle w:val="ListParagraph"/>
        <w:spacing w:after="0" w:line="100" w:lineRule="atLeast"/>
        <w:ind w:left="0"/>
        <w:jc w:val="both"/>
      </w:pPr>
    </w:p>
    <w:sectPr w:rsidR="00FC0573">
      <w:footerReference w:type="default" r:id="rId13"/>
      <w:pgSz w:w="11906" w:h="16838"/>
      <w:pgMar w:top="1134" w:right="709" w:bottom="777" w:left="851" w:header="720" w:footer="720" w:gutter="0"/>
      <w:cols w:space="720"/>
      <w:docGrid w:linePitch="6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73" w:rsidRDefault="00FC0573">
      <w:pPr>
        <w:spacing w:after="0" w:line="240" w:lineRule="auto"/>
      </w:pPr>
      <w:r>
        <w:separator/>
      </w:r>
    </w:p>
  </w:endnote>
  <w:endnote w:type="continuationSeparator" w:id="1">
    <w:p w:rsidR="00FC0573" w:rsidRDefault="00FC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0573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594F9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73" w:rsidRDefault="00FC0573">
      <w:pPr>
        <w:spacing w:after="0" w:line="240" w:lineRule="auto"/>
      </w:pPr>
      <w:r>
        <w:separator/>
      </w:r>
    </w:p>
  </w:footnote>
  <w:footnote w:type="continuationSeparator" w:id="1">
    <w:p w:rsidR="00FC0573" w:rsidRDefault="00FC0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"/>
      <w:lvlJc w:val="left"/>
      <w:pPr>
        <w:tabs>
          <w:tab w:val="num" w:pos="0"/>
        </w:tabs>
        <w:ind w:left="1065" w:hanging="360"/>
      </w:pPr>
      <w:rPr>
        <w:rFonts w:ascii="Wingdings" w:hAnsi="Wingdings" w:cs="Open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0AD"/>
    <w:rsid w:val="004B00AD"/>
    <w:rsid w:val="00594F98"/>
    <w:rsid w:val="00FC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ascii="Arial" w:eastAsia="Times New Roman" w:hAnsi="Arial" w:cs="Aria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  <w:lang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n-tteCar">
    <w:name w:val="En-tête Car"/>
    <w:rPr>
      <w:rFonts w:ascii="Calibri" w:hAnsi="Calibri"/>
      <w:sz w:val="22"/>
      <w:szCs w:val="22"/>
    </w:rPr>
  </w:style>
  <w:style w:type="character" w:customStyle="1" w:styleId="PieddepageCar">
    <w:name w:val="Pied de page Car"/>
    <w:rPr>
      <w:rFonts w:ascii="Calibri" w:hAnsi="Calibri"/>
      <w:sz w:val="22"/>
      <w:szCs w:val="22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OpenSymbol"/>
      <w:color w:val="00000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ach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louton.tresorer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ntine.glouto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pach.cant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pach.cant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</dc:creator>
  <cp:keywords/>
  <cp:lastModifiedBy>sylvain gonthier</cp:lastModifiedBy>
  <cp:revision>3</cp:revision>
  <cp:lastPrinted>2017-04-25T18:46:00Z</cp:lastPrinted>
  <dcterms:created xsi:type="dcterms:W3CDTF">2018-06-07T20:18:00Z</dcterms:created>
  <dcterms:modified xsi:type="dcterms:W3CDTF">2018-06-07T20:21:00Z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